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E81809E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0"/>
        <w:jc w:val="left"/>
        <w:textAlignment w:val="auto"/>
        <w:rPr>
          <w:rFonts w:ascii="黑体" w:eastAsia="黑体" w:hAnsi="黑体"/>
          <w:sz w:val="32"/>
          <w:szCs w:val="32"/>
        </w:rPr>
      </w:pPr>
      <w:r>
        <w:rPr>
          <w:rFonts w:ascii="黑体" w:eastAsia="黑体" w:hAnsi="黑体" w:hint="eastAsia"/>
          <w:sz w:val="32"/>
          <w:szCs w:val="32"/>
        </w:rPr>
        <w:t>附件1</w:t>
      </w:r>
    </w:p>
    <w:p w14:paraId="C24E50AD">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0"/>
        <w:jc w:val="left"/>
        <w:textAlignment w:val="auto"/>
        <w:rPr>
          <w:rFonts w:ascii="方正小标宋简体" w:eastAsia="方正小标宋简体"/>
          <w:sz w:val="36"/>
          <w:szCs w:val="36"/>
        </w:rPr>
      </w:pPr>
    </w:p>
    <w:p w14:paraId="E87170C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0"/>
        <w:jc w:val="center"/>
        <w:textAlignment w:val="auto"/>
        <w:rPr>
          <w:rFonts w:ascii="方正小标宋简体" w:eastAsia="方正小标宋简体"/>
          <w:sz w:val="44"/>
          <w:szCs w:val="44"/>
        </w:rPr>
      </w:pPr>
      <w:r>
        <w:rPr>
          <w:rFonts w:ascii="Times New Roman" w:cs="Times New Roman" w:eastAsia="方正小标宋简体" w:hAnsi="Times New Roman" w:hint="default"/>
          <w:sz w:val="44"/>
          <w:szCs w:val="44"/>
        </w:rPr>
        <w:t>202</w:t>
      </w:r>
      <w:r>
        <w:rPr>
          <w:rFonts w:ascii="Times New Roman" w:cs="Times New Roman" w:eastAsia="方正小标宋简体" w:hAnsi="Times New Roman" w:hint="eastAsia"/>
          <w:sz w:val="44"/>
          <w:szCs w:val="44"/>
          <w:lang w:val="en-US" w:eastAsia="zh-CN"/>
        </w:rPr>
        <w:t>5</w:t>
      </w:r>
      <w:r>
        <w:rPr>
          <w:rFonts w:ascii="方正小标宋简体" w:eastAsia="方正小标宋简体" w:hint="eastAsia"/>
          <w:sz w:val="44"/>
          <w:szCs w:val="44"/>
        </w:rPr>
        <w:t>年度教育部哲学社会科学研究重大课题攻关项目和高校思想政治理论课教师研究</w:t>
      </w:r>
    </w:p>
    <w:p w14:paraId="56A81E7A">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0"/>
        <w:jc w:val="center"/>
        <w:textAlignment w:val="auto"/>
        <w:rPr>
          <w:rFonts w:ascii="方正小标宋简体" w:eastAsia="方正小标宋简体"/>
          <w:sz w:val="44"/>
          <w:szCs w:val="44"/>
        </w:rPr>
      </w:pPr>
      <w:r>
        <w:rPr>
          <w:rFonts w:ascii="方正小标宋简体" w:eastAsia="方正小标宋简体" w:hint="eastAsia"/>
          <w:sz w:val="44"/>
          <w:szCs w:val="44"/>
        </w:rPr>
        <w:t>专项重大课题攻关项目</w:t>
      </w:r>
      <w:r>
        <w:rPr>
          <w:rFonts w:ascii="方正小标宋简体" w:eastAsia="方正小标宋简体"/>
          <w:sz w:val="44"/>
          <w:szCs w:val="44"/>
        </w:rPr>
        <w:t>招标课题指南</w:t>
      </w:r>
    </w:p>
    <w:p w14:paraId="39C5D09C">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0"/>
        <w:textAlignment w:val="auto"/>
        <w:rPr>
          <w:rFonts w:ascii="仿宋_GB2312" w:eastAsia="仿宋_GB2312"/>
          <w:sz w:val="32"/>
          <w:szCs w:val="32"/>
        </w:rPr>
      </w:pPr>
    </w:p>
    <w:p w14:paraId="1D52286C">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0"/>
        <w:textAlignment w:val="auto"/>
        <w:rPr>
          <w:rFonts w:ascii="仿宋_GB2312" w:eastAsia="仿宋_GB2312"/>
          <w:sz w:val="32"/>
          <w:szCs w:val="32"/>
        </w:rPr>
      </w:pPr>
      <w:r>
        <w:rPr>
          <w:rFonts w:ascii="黑体" w:eastAsia="黑体" w:hAnsi="黑体" w:hint="eastAsia"/>
          <w:sz w:val="32"/>
          <w:szCs w:val="32"/>
        </w:rPr>
        <w:t>一、教育部哲学社会科学研究重大课题攻关项目</w:t>
      </w:r>
    </w:p>
    <w:p w14:paraId="DD0A962D">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习近平新时代中国特色社会主义思想对马克思主义和人类文明的原创性贡献研究</w:t>
      </w:r>
    </w:p>
    <w:p w14:paraId="CEB52946">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习近平总书记关于城市工作重要论述研究</w:t>
      </w:r>
    </w:p>
    <w:p w14:paraId="E0B58A94">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习近平总书记关于海洋强国建设重要论述研究</w:t>
      </w:r>
    </w:p>
    <w:p w14:paraId="F421356E">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习近平总书记关于青年工作重要论述研究</w:t>
      </w:r>
    </w:p>
    <w:p w14:paraId="98640852">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习近平总书记</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hint="default"/>
          <w:sz w:val="32"/>
          <w:szCs w:val="32"/>
        </w:rPr>
        <w:t>全球南方</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hint="default"/>
          <w:sz w:val="32"/>
          <w:szCs w:val="32"/>
        </w:rPr>
        <w:t>战略思想与实践路径研究</w:t>
      </w:r>
    </w:p>
    <w:p w14:paraId="9777D987">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百年马克思主义美学中国化与理论建构研究</w:t>
      </w:r>
    </w:p>
    <w:p w14:paraId="8E35700C">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中国共产党领导抗战文艺的档案文献整理研究</w:t>
      </w:r>
    </w:p>
    <w:p w14:paraId="FD888DBC">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具身人工智能的哲学基础问题研究</w:t>
      </w:r>
    </w:p>
    <w:p w14:paraId="F5CFC971">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文明互鉴视域下的海外流散甲骨整理研究</w:t>
      </w:r>
    </w:p>
    <w:p w14:paraId="826830A5">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联合国文化政策与中国文化话语权提升路径研究</w:t>
      </w:r>
    </w:p>
    <w:p w14:paraId="0570531F">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历代珍稀文话版本集成与综合研究</w:t>
      </w:r>
    </w:p>
    <w:p w14:paraId="2952246C">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中国民间叙事学的理论体系建构</w:t>
      </w:r>
    </w:p>
    <w:p w14:paraId="160373B8">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京剧百年（1915</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hint="default"/>
          <w:sz w:val="32"/>
          <w:szCs w:val="32"/>
        </w:rPr>
        <w:t>2025）翻译传播与词典编纂研究</w:t>
      </w:r>
    </w:p>
    <w:p w14:paraId="E940B664">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敦</w:t>
      </w:r>
      <w:bookmarkStart w:id="0" w:name="_GoBack"/>
      <w:bookmarkEnd w:id="0"/>
      <w:r>
        <w:rPr>
          <w:rFonts w:ascii="Times New Roman" w:cs="Times New Roman" w:eastAsia="仿宋_GB2312" w:hAnsi="Times New Roman" w:hint="default"/>
          <w:sz w:val="32"/>
          <w:szCs w:val="32"/>
        </w:rPr>
        <w:t>煌文书算学文献整理与研究</w:t>
      </w:r>
    </w:p>
    <w:p w14:paraId="AC5EFBB4">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亚太战争审判全史编纂研究</w:t>
      </w:r>
    </w:p>
    <w:p w14:paraId="F160C4FA">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海疆文物保护利用研究</w:t>
      </w:r>
    </w:p>
    <w:p w14:paraId="978A7E92">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建立健全政府债务规模控制机制和风险评估研究</w:t>
      </w:r>
    </w:p>
    <w:p w14:paraId="7B797E47">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在新发展理念指引下加强政府投资基金统筹管理研究</w:t>
      </w:r>
    </w:p>
    <w:p w14:paraId="AE173B7D">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数字资产与数字货币的风险机理研究</w:t>
      </w:r>
    </w:p>
    <w:p w14:paraId="BF6DEC95">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新兴技术领域出口管制国际比较与应对研究</w:t>
      </w:r>
    </w:p>
    <w:p w14:paraId="19F07C9C">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美国经贸政策重大调整对全球产业链供应链的冲击与应对研究</w:t>
      </w:r>
    </w:p>
    <w:p w14:paraId="5CAD2215">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战略性矿产资源探产供储销统筹和衔接机制研究</w:t>
      </w:r>
    </w:p>
    <w:p w14:paraId="B95B3576">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大食物观下多元食物供给体系建设的体制机制研究</w:t>
      </w:r>
    </w:p>
    <w:p w14:paraId="FB1088EA">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强农惠农富农支持制度体系研究</w:t>
      </w:r>
    </w:p>
    <w:p w14:paraId="15A77A01">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 xml:space="preserve">传统中国基层公共品供给的制度安排与历史经验 </w:t>
      </w:r>
    </w:p>
    <w:p w14:paraId="E0B8FBA3">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区域协调发展的法治保障研究</w:t>
      </w:r>
    </w:p>
    <w:p w14:paraId="DC4FFE8A">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更高水平平安中国背景下新型网络犯罪治理研究</w:t>
      </w:r>
    </w:p>
    <w:p w14:paraId="A3D35E36">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中华法系的近代转型与重构研究</w:t>
      </w:r>
    </w:p>
    <w:p w14:paraId="DE441F21">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国际比较视野下中国家庭变迁趋势研究</w:t>
      </w:r>
    </w:p>
    <w:p w14:paraId="A86697DD">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中国共产党领导西藏现代化的历史进程和伟大成就研究</w:t>
      </w:r>
    </w:p>
    <w:p w14:paraId="A21C9D8A">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南疆乡村七十年社会变迁调查研究（1955</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hint="default"/>
          <w:sz w:val="32"/>
          <w:szCs w:val="32"/>
        </w:rPr>
        <w:t>2025）</w:t>
      </w:r>
    </w:p>
    <w:p w14:paraId="FAD74533">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边疆地区现代化进程中实现共同富裕的机制创新研究</w:t>
      </w:r>
    </w:p>
    <w:p w14:paraId="5704DC92">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健全专家参与公共决策的制度研究</w:t>
      </w:r>
    </w:p>
    <w:p w14:paraId="6D4F5CFE">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完善失能老年人照护服务体系建设研究</w:t>
      </w:r>
    </w:p>
    <w:p w14:paraId="F36DB6C5">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就业影响评价机制研究</w:t>
      </w:r>
    </w:p>
    <w:p w14:paraId="1D716A91">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耐心资本绩效评价改革与容错机制研究</w:t>
      </w:r>
    </w:p>
    <w:p w14:paraId="17BE9662">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可持续的城市更新模式和政策研究</w:t>
      </w:r>
    </w:p>
    <w:p w14:paraId="E3AB7CBA">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百年乡村建设文献整理研究与数据库建设</w:t>
      </w:r>
    </w:p>
    <w:p w14:paraId="C26A71C7">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粮食安全背景下推进耕地撂荒复耕复垦长效机制研究</w:t>
      </w:r>
    </w:p>
    <w:p w14:paraId="3C0AA1F0">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低空经济背景下应急物流系统管理与优化研究</w:t>
      </w:r>
    </w:p>
    <w:p w14:paraId="B7E5C185">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提升</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hint="default"/>
          <w:sz w:val="32"/>
          <w:szCs w:val="32"/>
        </w:rPr>
        <w:t>投资于人</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hint="default"/>
          <w:sz w:val="32"/>
          <w:szCs w:val="32"/>
        </w:rPr>
        <w:t>效能的社会保障体系优化与政策创新研究</w:t>
      </w:r>
    </w:p>
    <w:p w14:paraId="B9109FAF">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我国企业海外安全保障实践方案的探索与验证研究</w:t>
      </w:r>
    </w:p>
    <w:p w14:paraId="EBD9963A">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人才供需适配机制研究</w:t>
      </w:r>
    </w:p>
    <w:p w14:paraId="80484C09">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加快基础教育优质均衡的动力、机制与保障研究</w:t>
      </w:r>
    </w:p>
    <w:p w14:paraId="69C0D446">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分类推进高校改革的实践路径研究</w:t>
      </w:r>
    </w:p>
    <w:p w14:paraId="1DEE000F">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人工智能驱动下教育的体制创新与高质量发展路径研究</w:t>
      </w:r>
    </w:p>
    <w:p w14:paraId="6E744A0C">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优化高等教育布局背景下高校高层次人才培育与流动管理的创新机制研究</w:t>
      </w:r>
    </w:p>
    <w:p w14:paraId="2790FB9B">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教育科技人才一体发展理论、路径与国际经验研究</w:t>
      </w:r>
    </w:p>
    <w:p w14:paraId="F09899CC">
      <w:pPr>
        <w:pStyle w:val="style0"/>
        <w:numPr>
          <w:ilvl w:val="0"/>
          <w:numId w:val="1"/>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default"/>
          <w:sz w:val="32"/>
          <w:szCs w:val="32"/>
        </w:rPr>
        <w:t>教育法学基本理论研究</w:t>
      </w:r>
    </w:p>
    <w:p w14:paraId="51CF3088">
      <w:pPr>
        <w:pStyle w:val="style0"/>
        <w:numPr>
          <w:ilvl w:val="0"/>
          <w:numId w:val="0"/>
        </w:numPr>
        <w:ind w:leftChars="0"/>
        <w:rPr>
          <w:rFonts w:ascii="黑体" w:eastAsia="黑体" w:hAnsi="黑体" w:hint="eastAsia"/>
          <w:sz w:val="32"/>
          <w:szCs w:val="32"/>
        </w:rPr>
      </w:pPr>
      <w:r>
        <w:rPr>
          <w:rFonts w:ascii="Times New Roman" w:cs="Times New Roman" w:eastAsia="仿宋_GB2312" w:hAnsi="Times New Roman" w:hint="eastAsia"/>
          <w:sz w:val="32"/>
          <w:szCs w:val="32"/>
          <w:lang w:val="en-US" w:eastAsia="zh-CN"/>
        </w:rPr>
        <w:t>50.</w:t>
      </w:r>
      <w:r>
        <w:rPr>
          <w:rFonts w:ascii="Times New Roman" w:cs="Times New Roman" w:eastAsia="仿宋_GB2312" w:hAnsi="Times New Roman" w:hint="default"/>
          <w:sz w:val="32"/>
          <w:szCs w:val="32"/>
        </w:rPr>
        <w:t>重要海运通道安全对我国全球供应链的影响及对策研究</w:t>
      </w:r>
    </w:p>
    <w:p w14:paraId="EF13756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0"/>
        <w:textAlignment w:val="auto"/>
        <w:rPr>
          <w:rFonts w:ascii="黑体" w:eastAsia="黑体" w:hAnsi="黑体"/>
          <w:sz w:val="32"/>
          <w:szCs w:val="32"/>
        </w:rPr>
      </w:pPr>
      <w:r>
        <w:rPr>
          <w:rFonts w:ascii="黑体" w:eastAsia="黑体" w:hAnsi="黑体" w:hint="eastAsia"/>
          <w:sz w:val="32"/>
          <w:szCs w:val="32"/>
        </w:rPr>
        <w:t>二、高校思想政治理论课教师研究专项重大课题攻关项目</w:t>
      </w:r>
    </w:p>
    <w:p w14:paraId="3369668E">
      <w:pPr>
        <w:pStyle w:val="style0"/>
        <w:numPr>
          <w:ilvl w:val="0"/>
          <w:numId w:val="2"/>
        </w:numPr>
        <w:ind w:left="425" w:leftChars="0" w:hanging="425" w:firstLineChars="0"/>
        <w:rPr>
          <w:rFonts w:ascii="Times New Roman" w:cs="Times New Roman" w:eastAsia="仿宋_GB2312" w:hAnsi="Times New Roman" w:hint="eastAsia"/>
          <w:sz w:val="32"/>
          <w:szCs w:val="32"/>
          <w:lang w:eastAsia="zh-CN"/>
        </w:rPr>
      </w:pPr>
      <w:r>
        <w:rPr>
          <w:rFonts w:ascii="Times New Roman" w:cs="Times New Roman" w:eastAsia="仿宋_GB2312" w:hAnsi="Times New Roman" w:hint="eastAsia"/>
          <w:sz w:val="32"/>
          <w:szCs w:val="32"/>
          <w:lang w:val="en-US" w:eastAsia="zh-CN"/>
        </w:rPr>
        <w:t>中国哲学社会科学自主知识体系融入高校思政课路径研究</w:t>
      </w:r>
    </w:p>
    <w:p w14:paraId="D47C5F7E">
      <w:pPr>
        <w:pStyle w:val="style0"/>
        <w:numPr>
          <w:ilvl w:val="0"/>
          <w:numId w:val="2"/>
        </w:numPr>
        <w:ind w:left="425" w:leftChars="0" w:hanging="425" w:firstLineChars="0"/>
        <w:rPr>
          <w:rFonts w:ascii="Times New Roman" w:cs="Times New Roman" w:eastAsia="仿宋_GB2312" w:hAnsi="Times New Roman" w:hint="eastAsia"/>
          <w:sz w:val="32"/>
          <w:szCs w:val="32"/>
          <w:lang w:eastAsia="zh-CN"/>
        </w:rPr>
      </w:pPr>
      <w:r>
        <w:rPr>
          <w:rFonts w:ascii="Times New Roman" w:cs="Times New Roman" w:eastAsia="仿宋_GB2312" w:hAnsi="Times New Roman" w:hint="eastAsia"/>
          <w:sz w:val="32"/>
          <w:szCs w:val="32"/>
        </w:rPr>
        <w:t>教育强国背景下高校思政课</w:t>
      </w:r>
      <w:r>
        <w:rPr>
          <w:rFonts w:ascii="Times New Roman" w:cs="Times New Roman" w:eastAsia="仿宋_GB2312" w:hAnsi="Times New Roman" w:hint="eastAsia"/>
          <w:sz w:val="32"/>
          <w:szCs w:val="32"/>
          <w:lang w:eastAsia="zh-CN"/>
        </w:rPr>
        <w:t>建设水平评估标准</w:t>
      </w:r>
      <w:r>
        <w:rPr>
          <w:rFonts w:ascii="Times New Roman" w:cs="Times New Roman" w:eastAsia="仿宋_GB2312" w:hAnsi="Times New Roman" w:hint="eastAsia"/>
          <w:sz w:val="32"/>
          <w:szCs w:val="32"/>
        </w:rPr>
        <w:t>研究</w:t>
      </w:r>
    </w:p>
    <w:p w14:paraId="0CD8108D">
      <w:pPr>
        <w:pStyle w:val="style0"/>
        <w:numPr>
          <w:ilvl w:val="0"/>
          <w:numId w:val="2"/>
        </w:numPr>
        <w:ind w:left="425" w:leftChars="0" w:hanging="425" w:firstLineChars="0"/>
        <w:rPr>
          <w:rFonts w:ascii="Times New Roman" w:cs="Times New Roman" w:eastAsia="仿宋_GB2312" w:hAnsi="Times New Roman" w:hint="eastAsia"/>
          <w:sz w:val="32"/>
          <w:szCs w:val="32"/>
          <w:lang w:eastAsia="zh-CN"/>
        </w:rPr>
      </w:pPr>
      <w:r>
        <w:rPr>
          <w:rFonts w:ascii="Times New Roman" w:cs="Times New Roman" w:eastAsia="仿宋_GB2312" w:hAnsi="Times New Roman" w:hint="eastAsia"/>
          <w:sz w:val="32"/>
          <w:szCs w:val="32"/>
          <w:lang w:eastAsia="zh-CN"/>
        </w:rPr>
        <w:t>基于</w:t>
      </w:r>
      <w:r>
        <w:rPr>
          <w:rFonts w:ascii="Times New Roman" w:cs="Times New Roman" w:eastAsia="仿宋_GB2312" w:hAnsi="Times New Roman" w:hint="eastAsia"/>
          <w:sz w:val="32"/>
          <w:szCs w:val="32"/>
        </w:rPr>
        <w:t>大中小</w:t>
      </w:r>
      <w:r>
        <w:rPr>
          <w:rFonts w:ascii="Times New Roman" w:cs="Times New Roman" w:eastAsia="仿宋_GB2312" w:hAnsi="Times New Roman" w:hint="eastAsia"/>
          <w:sz w:val="32"/>
          <w:szCs w:val="32"/>
          <w:lang w:eastAsia="zh-CN"/>
        </w:rPr>
        <w:t>学思政课</w:t>
      </w:r>
      <w:r>
        <w:rPr>
          <w:rFonts w:ascii="Times New Roman" w:cs="Times New Roman" w:eastAsia="仿宋_GB2312" w:hAnsi="Times New Roman" w:hint="default"/>
          <w:sz w:val="32"/>
          <w:szCs w:val="32"/>
        </w:rPr>
        <w:t>一体化</w:t>
      </w:r>
      <w:r>
        <w:rPr>
          <w:rFonts w:ascii="Times New Roman" w:cs="Times New Roman" w:eastAsia="仿宋_GB2312" w:hAnsi="Times New Roman" w:hint="eastAsia"/>
          <w:sz w:val="32"/>
          <w:szCs w:val="32"/>
          <w:lang w:eastAsia="zh-CN"/>
        </w:rPr>
        <w:t>改革试点成果的制度机制研究</w:t>
      </w:r>
    </w:p>
    <w:p w14:paraId="FE54C103">
      <w:pPr>
        <w:pStyle w:val="style0"/>
        <w:numPr>
          <w:ilvl w:val="0"/>
          <w:numId w:val="2"/>
        </w:numPr>
        <w:ind w:left="425" w:leftChars="0" w:hanging="425" w:firstLineChars="0"/>
        <w:rPr>
          <w:rFonts w:ascii="Times New Roman" w:cs="Times New Roman" w:eastAsia="仿宋_GB2312" w:hAnsi="Times New Roman" w:hint="eastAsia"/>
          <w:sz w:val="32"/>
          <w:szCs w:val="32"/>
          <w:lang w:eastAsia="zh-CN"/>
        </w:rPr>
      </w:pPr>
      <w:r>
        <w:rPr>
          <w:rFonts w:ascii="Times New Roman" w:cs="Times New Roman" w:eastAsia="仿宋_GB2312" w:hAnsi="Times New Roman" w:hint="eastAsia"/>
          <w:sz w:val="32"/>
          <w:szCs w:val="32"/>
          <w:lang w:eastAsia="zh-CN"/>
        </w:rPr>
        <w:t>青年思政课教师经典著作研读长效机制研究</w:t>
      </w:r>
    </w:p>
    <w:p w14:paraId="F4291DF2">
      <w:pPr>
        <w:pStyle w:val="style0"/>
        <w:numPr>
          <w:ilvl w:val="0"/>
          <w:numId w:val="2"/>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eastAsia"/>
          <w:sz w:val="32"/>
          <w:szCs w:val="32"/>
        </w:rPr>
        <w:t>高校</w:t>
      </w:r>
      <w:r>
        <w:rPr>
          <w:rFonts w:ascii="Times New Roman" w:cs="Times New Roman" w:eastAsia="仿宋_GB2312" w:hAnsi="Times New Roman" w:hint="default"/>
          <w:sz w:val="32"/>
          <w:szCs w:val="32"/>
        </w:rPr>
        <w:t>思政课教师</w:t>
      </w:r>
      <w:r>
        <w:rPr>
          <w:rFonts w:ascii="Times New Roman" w:cs="Times New Roman" w:eastAsia="仿宋_GB2312" w:hAnsi="Times New Roman" w:hint="eastAsia"/>
          <w:sz w:val="32"/>
          <w:szCs w:val="32"/>
        </w:rPr>
        <w:t>人工</w:t>
      </w:r>
      <w:r>
        <w:rPr>
          <w:rFonts w:ascii="Times New Roman" w:cs="Times New Roman" w:eastAsia="仿宋_GB2312" w:hAnsi="Times New Roman" w:hint="default"/>
          <w:sz w:val="32"/>
          <w:szCs w:val="32"/>
        </w:rPr>
        <w:t>智能素养提升研究</w:t>
      </w:r>
    </w:p>
    <w:p w14:paraId="2D902FB0">
      <w:pPr>
        <w:pStyle w:val="style0"/>
        <w:numPr>
          <w:ilvl w:val="0"/>
          <w:numId w:val="2"/>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eastAsia"/>
          <w:sz w:val="32"/>
          <w:szCs w:val="32"/>
        </w:rPr>
        <w:t>中外合作办学思政课</w:t>
      </w:r>
      <w:r>
        <w:rPr>
          <w:rFonts w:ascii="Times New Roman" w:cs="Times New Roman" w:eastAsia="仿宋_GB2312" w:hAnsi="Times New Roman" w:hint="eastAsia"/>
          <w:sz w:val="32"/>
          <w:szCs w:val="32"/>
          <w:lang w:eastAsia="zh-CN"/>
        </w:rPr>
        <w:t>建设难点和对策</w:t>
      </w:r>
      <w:r>
        <w:rPr>
          <w:rFonts w:ascii="Times New Roman" w:cs="Times New Roman" w:eastAsia="仿宋_GB2312" w:hAnsi="Times New Roman" w:hint="eastAsia"/>
          <w:sz w:val="32"/>
          <w:szCs w:val="32"/>
        </w:rPr>
        <w:t>研究</w:t>
      </w:r>
    </w:p>
    <w:p w14:paraId="A454CEC9">
      <w:pPr>
        <w:pStyle w:val="style0"/>
        <w:numPr>
          <w:ilvl w:val="0"/>
          <w:numId w:val="2"/>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eastAsia"/>
          <w:sz w:val="32"/>
          <w:szCs w:val="32"/>
        </w:rPr>
        <w:t>民办高校思政课建设</w:t>
      </w:r>
      <w:r>
        <w:rPr>
          <w:rFonts w:ascii="Times New Roman" w:cs="Times New Roman" w:eastAsia="仿宋_GB2312" w:hAnsi="Times New Roman" w:hint="eastAsia"/>
          <w:sz w:val="32"/>
          <w:szCs w:val="32"/>
          <w:lang w:eastAsia="zh-CN"/>
        </w:rPr>
        <w:t>难点和对策</w:t>
      </w:r>
      <w:r>
        <w:rPr>
          <w:rFonts w:ascii="Times New Roman" w:cs="Times New Roman" w:eastAsia="仿宋_GB2312" w:hAnsi="Times New Roman" w:hint="eastAsia"/>
          <w:sz w:val="32"/>
          <w:szCs w:val="32"/>
        </w:rPr>
        <w:t>研究</w:t>
      </w:r>
    </w:p>
    <w:p w14:paraId="07D0A636">
      <w:pPr>
        <w:pStyle w:val="style0"/>
        <w:numPr>
          <w:ilvl w:val="0"/>
          <w:numId w:val="2"/>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eastAsia"/>
          <w:sz w:val="32"/>
          <w:szCs w:val="32"/>
          <w:lang w:val="en-US" w:eastAsia="zh-CN"/>
        </w:rPr>
        <w:t>大中小学思政课一体化数字平台建设研究</w:t>
      </w:r>
    </w:p>
    <w:p w14:paraId="766FF776">
      <w:pPr>
        <w:pStyle w:val="style0"/>
        <w:numPr>
          <w:ilvl w:val="0"/>
          <w:numId w:val="2"/>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eastAsia"/>
          <w:sz w:val="32"/>
          <w:szCs w:val="32"/>
          <w:lang w:val="en-US" w:eastAsia="zh-CN"/>
        </w:rPr>
        <w:t>地方思政实践课程品牌建设研究</w:t>
      </w:r>
    </w:p>
    <w:p w14:paraId="6CD01D02">
      <w:pPr>
        <w:pStyle w:val="style0"/>
        <w:numPr>
          <w:ilvl w:val="0"/>
          <w:numId w:val="2"/>
        </w:numPr>
        <w:ind w:left="425" w:leftChars="0" w:hanging="425" w:firstLineChars="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lang w:val="en-US" w:eastAsia="zh-CN"/>
        </w:rPr>
        <w:t>高校马克思主义学院院长素质能力模型</w:t>
      </w:r>
      <w:r>
        <w:rPr>
          <w:rFonts w:ascii="Times New Roman" w:cs="Times New Roman" w:eastAsia="仿宋_GB2312" w:hAnsi="Times New Roman" w:hint="eastAsia"/>
          <w:sz w:val="32"/>
          <w:szCs w:val="32"/>
        </w:rPr>
        <w:t>研究</w:t>
      </w:r>
    </w:p>
    <w:p w14:paraId="1ED4CEF5">
      <w:pPr>
        <w:pStyle w:val="style0"/>
        <w:numPr>
          <w:ilvl w:val="0"/>
          <w:numId w:val="2"/>
        </w:numPr>
        <w:ind w:left="425" w:leftChars="0" w:hanging="425" w:firstLineChars="0"/>
        <w:rPr>
          <w:rFonts w:ascii="Times New Roman" w:cs="Times New Roman" w:eastAsia="仿宋_GB2312" w:hAnsi="Times New Roman" w:hint="eastAsia"/>
          <w:sz w:val="32"/>
          <w:szCs w:val="32"/>
        </w:rPr>
      </w:pPr>
      <w:r>
        <w:rPr>
          <w:rFonts w:ascii="Times New Roman" w:cs="Times New Roman" w:eastAsia="仿宋_GB2312" w:hAnsi="Times New Roman" w:hint="eastAsia"/>
          <w:sz w:val="32"/>
          <w:szCs w:val="32"/>
          <w:lang w:val="en-US" w:eastAsia="zh-CN"/>
        </w:rPr>
        <w:t>高校形势与政策教育数字资源开发研究</w:t>
      </w:r>
    </w:p>
    <w:p w14:paraId="08131009">
      <w:pPr>
        <w:pStyle w:val="style0"/>
        <w:numPr>
          <w:ilvl w:val="0"/>
          <w:numId w:val="2"/>
        </w:numPr>
        <w:ind w:left="425" w:leftChars="0" w:hanging="425" w:firstLineChars="0"/>
        <w:rPr>
          <w:rFonts w:ascii="Times New Roman" w:cs="Times New Roman" w:eastAsia="仿宋_GB2312" w:hAnsi="Times New Roman" w:hint="default"/>
          <w:sz w:val="32"/>
          <w:szCs w:val="32"/>
        </w:rPr>
      </w:pPr>
      <w:r>
        <w:rPr>
          <w:rFonts w:ascii="Times New Roman" w:cs="Times New Roman" w:eastAsia="仿宋_GB2312" w:hAnsi="Times New Roman" w:hint="eastAsia"/>
          <w:sz w:val="32"/>
          <w:szCs w:val="32"/>
          <w:lang w:eastAsia="zh-CN"/>
        </w:rPr>
        <w:t>针对“α世代”的</w:t>
      </w:r>
      <w:r>
        <w:rPr>
          <w:rFonts w:ascii="Times New Roman" w:cs="Times New Roman" w:eastAsia="仿宋_GB2312" w:hAnsi="Times New Roman" w:hint="eastAsia"/>
          <w:sz w:val="32"/>
          <w:szCs w:val="32"/>
        </w:rPr>
        <w:t>高校思政课学情研究</w:t>
      </w:r>
    </w:p>
    <w:sectPr>
      <w:footerReference w:type="default" r:id="rId2"/>
      <w:pgSz w:w="11906" w:h="16838" w:orient="portrait"/>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swiss"/>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Times New Roman"/>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DejaVu Sans"/>
    <w:panose1 w:val="02070309020002020404"/>
    <w:charset w:val="01"/>
    <w:family w:val="modern"/>
    <w:pitch w:val="default"/>
    <w:sig w:usb0="E0002AFF" w:usb1="C0007843" w:usb2="00000009" w:usb3="00000000" w:csb0="400001FF" w:csb1="FFFF0000"/>
  </w:font>
  <w:font w:name="Symbol">
    <w:altName w:val="CAGKDB+CESI_FS_GB18030"/>
    <w:panose1 w:val="05050102010007020507"/>
    <w:charset w:val="02"/>
    <w:family w:val="roman"/>
    <w:pitch w:val="default"/>
    <w:sig w:usb0="00000000" w:usb1="00000000" w:usb2="00000000" w:usb3="00000000" w:csb0="80000000" w:csb1="00000000"/>
  </w:font>
  <w:font w:name="Calibri">
    <w:altName w:val="DejaVu Sans"/>
    <w:panose1 w:val="020f0502020002030204"/>
    <w:charset w:val="00"/>
    <w:family w:val="swiss"/>
    <w:pitch w:val="default"/>
    <w:sig w:usb0="00000000" w:usb1="00000000" w:usb2="00000001" w:usb3="00000000" w:csb0="0000019F" w:csb1="00000000"/>
  </w:font>
  <w:font w:name="DejaVu Sans">
    <w:altName w:val="DejaVu Sans"/>
    <w:panose1 w:val="020b0603030008020204"/>
    <w:charset w:val="00"/>
    <w:family w:val="auto"/>
    <w:pitch w:val="default"/>
    <w:sig w:usb0="E7006EFF" w:usb1="D200FDFF" w:usb2="0A246029" w:usb3="0400200C" w:csb0="600001FF" w:csb1="DFFF0000"/>
  </w:font>
  <w:font w:name="方正小标宋简体">
    <w:altName w:val="方正小标宋简体"/>
    <w:panose1 w:val="03000509000000000000"/>
    <w:charset w:val="86"/>
    <w:family w:val="auto"/>
    <w:pitch w:val="default"/>
    <w:sig w:usb0="00000001" w:usb1="080E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46947DF">
    <w:pPr>
      <w:pStyle w:val="style32"/>
      <w:tabs>
        <w:tab w:val="clear" w:pos="4153"/>
      </w:tabs>
      <w:rPr/>
    </w:pPr>
    <w:r>
      <w:rPr>
        <w:sz w:val="18"/>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6EE05A86">
                          <w:pPr>
                            <w:pStyle w:val="style32"/>
                            <w:rPr>
                              <w:rFonts w:ascii="Times New Roman" w:cs="Times New Roman" w:hAnsi="Times New Roman" w:hint="default"/>
                              <w:sz w:val="28"/>
                              <w:szCs w:val="28"/>
                            </w:rPr>
                          </w:pPr>
                          <w:r>
                            <w:rPr>
                              <w:rFonts w:ascii="Times New Roman" w:cs="Times New Roman" w:hAnsi="Times New Roman" w:hint="eastAsia"/>
                              <w:sz w:val="28"/>
                              <w:szCs w:val="28"/>
                              <w:lang w:eastAsia="zh-CN"/>
                            </w:rPr>
                            <w:t>—</w:t>
                          </w:r>
                          <w:r>
                            <w:rPr>
                              <w:rFonts w:ascii="Times New Roman" w:cs="Times New Roman" w:hAnsi="Times New Roman" w:hint="eastAsia"/>
                              <w:sz w:val="28"/>
                              <w:szCs w:val="28"/>
                              <w:lang w:val="en-US" w:eastAsia="zh-CN"/>
                            </w:rPr>
                            <w:t xml:space="preserve"> </w:t>
                          </w:r>
                          <w:r>
                            <w:rPr>
                              <w:rFonts w:ascii="Times New Roman" w:cs="Times New Roman" w:hAnsi="Times New Roman" w:hint="default"/>
                              <w:sz w:val="28"/>
                              <w:szCs w:val="28"/>
                            </w:rPr>
                            <w:fldChar w:fldCharType="begin"/>
                          </w:r>
                          <w:r>
                            <w:rPr>
                              <w:rFonts w:ascii="Times New Roman" w:cs="Times New Roman" w:hAnsi="Times New Roman" w:hint="default"/>
                              <w:sz w:val="28"/>
                              <w:szCs w:val="28"/>
                            </w:rPr>
                            <w:instrText xml:space="preserve"> PAGE  \* MERGEFORMAT </w:instrText>
                          </w:r>
                          <w:r>
                            <w:rPr>
                              <w:rFonts w:ascii="Times New Roman" w:cs="Times New Roman" w:hAnsi="Times New Roman" w:hint="default"/>
                              <w:sz w:val="28"/>
                              <w:szCs w:val="28"/>
                            </w:rPr>
                            <w:fldChar w:fldCharType="separate"/>
                          </w:r>
                          <w:r>
                            <w:rPr>
                              <w:rFonts w:ascii="Times New Roman" w:cs="Times New Roman" w:hAnsi="Times New Roman" w:hint="default"/>
                              <w:sz w:val="28"/>
                              <w:szCs w:val="28"/>
                            </w:rPr>
                            <w:t>1</w:t>
                          </w:r>
                          <w:r>
                            <w:rPr>
                              <w:rFonts w:ascii="Times New Roman" w:cs="Times New Roman" w:hAnsi="Times New Roman" w:hint="default"/>
                              <w:sz w:val="28"/>
                              <w:szCs w:val="28"/>
                            </w:rPr>
                            <w:fldChar w:fldCharType="end"/>
                          </w:r>
                          <w:r>
                            <w:rPr>
                              <w:rFonts w:ascii="Times New Roman" w:cs="Times New Roman" w:hAnsi="Times New Roman" w:hint="eastAsia"/>
                              <w:sz w:val="28"/>
                              <w:szCs w:val="28"/>
                              <w:lang w:val="en-US" w:eastAsia="zh-CN"/>
                            </w:rPr>
                            <w:t xml:space="preserve"> </w:t>
                          </w:r>
                          <w:r>
                            <w:rPr>
                              <w:rFonts w:ascii="Times New Roman" w:cs="Times New Roman" w:hAnsi="Times New Roman" w:hint="eastAsia"/>
                              <w:sz w:val="28"/>
                              <w:szCs w:val="28"/>
                              <w:lang w:eastAsia="zh-CN"/>
                            </w:rPr>
                            <w:t>—</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6EE05A86">
                    <w:pPr>
                      <w:pStyle w:val="style32"/>
                      <w:rPr>
                        <w:rFonts w:ascii="Times New Roman" w:cs="Times New Roman" w:hAnsi="Times New Roman" w:hint="default"/>
                        <w:sz w:val="28"/>
                        <w:szCs w:val="28"/>
                      </w:rPr>
                    </w:pPr>
                    <w:r>
                      <w:rPr>
                        <w:rFonts w:ascii="Times New Roman" w:cs="Times New Roman" w:hAnsi="Times New Roman" w:hint="eastAsia"/>
                        <w:sz w:val="28"/>
                        <w:szCs w:val="28"/>
                        <w:lang w:eastAsia="zh-CN"/>
                      </w:rPr>
                      <w:t>—</w:t>
                    </w:r>
                    <w:r>
                      <w:rPr>
                        <w:rFonts w:ascii="Times New Roman" w:cs="Times New Roman" w:hAnsi="Times New Roman" w:hint="eastAsia"/>
                        <w:sz w:val="28"/>
                        <w:szCs w:val="28"/>
                        <w:lang w:val="en-US" w:eastAsia="zh-CN"/>
                      </w:rPr>
                      <w:t xml:space="preserve"> </w:t>
                    </w:r>
                    <w:r>
                      <w:rPr>
                        <w:rFonts w:ascii="Times New Roman" w:cs="Times New Roman" w:hAnsi="Times New Roman" w:hint="default"/>
                        <w:sz w:val="28"/>
                        <w:szCs w:val="28"/>
                      </w:rPr>
                      <w:fldChar w:fldCharType="begin"/>
                    </w:r>
                    <w:r>
                      <w:rPr>
                        <w:rFonts w:ascii="Times New Roman" w:cs="Times New Roman" w:hAnsi="Times New Roman" w:hint="default"/>
                        <w:sz w:val="28"/>
                        <w:szCs w:val="28"/>
                      </w:rPr>
                      <w:instrText xml:space="preserve"> PAGE  \* MERGEFORMAT </w:instrText>
                    </w:r>
                    <w:r>
                      <w:rPr>
                        <w:rFonts w:ascii="Times New Roman" w:cs="Times New Roman" w:hAnsi="Times New Roman" w:hint="default"/>
                        <w:sz w:val="28"/>
                        <w:szCs w:val="28"/>
                      </w:rPr>
                      <w:fldChar w:fldCharType="separate"/>
                    </w:r>
                    <w:r>
                      <w:rPr>
                        <w:rFonts w:ascii="Times New Roman" w:cs="Times New Roman" w:hAnsi="Times New Roman" w:hint="default"/>
                        <w:sz w:val="28"/>
                        <w:szCs w:val="28"/>
                      </w:rPr>
                      <w:t>1</w:t>
                    </w:r>
                    <w:r>
                      <w:rPr>
                        <w:rFonts w:ascii="Times New Roman" w:cs="Times New Roman" w:hAnsi="Times New Roman" w:hint="default"/>
                        <w:sz w:val="28"/>
                        <w:szCs w:val="28"/>
                      </w:rPr>
                      <w:fldChar w:fldCharType="end"/>
                    </w:r>
                    <w:r>
                      <w:rPr>
                        <w:rFonts w:ascii="Times New Roman" w:cs="Times New Roman" w:hAnsi="Times New Roman" w:hint="eastAsia"/>
                        <w:sz w:val="28"/>
                        <w:szCs w:val="28"/>
                        <w:lang w:val="en-US" w:eastAsia="zh-CN"/>
                      </w:rPr>
                      <w:t xml:space="preserve"> </w:t>
                    </w:r>
                    <w:r>
                      <w:rPr>
                        <w:rFonts w:ascii="Times New Roman" w:cs="Times New Roman" w:hAnsi="Times New Roman" w:hint="eastAsia"/>
                        <w:sz w:val="28"/>
                        <w:szCs w:val="28"/>
                        <w:lang w:eastAsia="zh-CN"/>
                      </w:rPr>
                      <w:t>—</w:t>
                    </w:r>
                  </w:p>
                </w:txbxContent>
              </v:textbox>
            </v:rect>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5CDCCB5"/>
    <w:lvl w:ilvl="0">
      <w:start w:val="1"/>
      <w:numFmt w:val="decimal"/>
      <w:lvlText w:val="%1."/>
      <w:lvlJc w:val="left"/>
      <w:pPr>
        <w:ind w:left="425" w:hanging="425"/>
      </w:pPr>
      <w:rPr>
        <w:rFonts w:hint="default"/>
      </w:rPr>
    </w:lvl>
  </w:abstractNum>
  <w:abstractNum w:abstractNumId="1">
    <w:nsid w:val="00000001"/>
    <w:multiLevelType w:val="singleLevel"/>
    <w:tmpl w:val="490D9518"/>
    <w:lvl w:ilvl="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1280</Words>
  <Pages>4</Pages>
  <Characters>1297</Characters>
  <Application>WPS Office</Application>
  <DocSecurity>0</DocSecurity>
  <Paragraphs>73</Paragraphs>
  <ScaleCrop>false</ScaleCrop>
  <LinksUpToDate>false</LinksUpToDate>
  <CharactersWithSpaces>1301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2025-07-08T21:57:00Z</dcterms:created>
  <dc:creator>龚君</dc:creator>
  <lastModifiedBy>MAA-AN10</lastModifiedBy>
  <lastPrinted>2025-10-21T14:25:00Z</lastPrinted>
  <dcterms:modified xsi:type="dcterms:W3CDTF">2025-10-24T10:39:00Z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f41ee260ab9a4e11a79c76b7d4be43ac_23</vt:lpwstr>
  </property>
  <property fmtid="{D5CDD505-2E9C-101B-9397-08002B2CF9AE}" pid="4" name="KSOTemplateDocerSaveRecord">
    <vt:lpwstr>eyJoZGlkIjoiNjc5ZTU0MDIzY2M0YzIzNWIwMjYxZWI1YjRiNTA3NjciLCJ1c2VySWQiOiI3MjY5MjY0MzIifQ==</vt:lpwstr>
  </property>
</Properties>
</file>